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38" w:rsidRDefault="003A4338" w:rsidP="003A433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Zpráva o činnosti JUPITER clubu za rok 2015</w:t>
      </w:r>
    </w:p>
    <w:p w:rsidR="00DD0FF8" w:rsidRPr="005F0570" w:rsidRDefault="00DD0FF8" w:rsidP="005B4554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Provoz a ekonomika</w:t>
      </w:r>
    </w:p>
    <w:p w:rsidR="003A4338" w:rsidRPr="005B4554" w:rsidRDefault="003A4338" w:rsidP="005B4554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JUPITER club, s.r.o. zahájil rok 2015 v nově zrekonstruovaných prostorách velkého sálu 10. ledna 2015 slavnostním otevřením. Jeho součástí byl koncert Janáčkova komorního orchestru s houslistou Josefem Špačkem. Poté se provoz v nových prostorách spustil naplno.</w:t>
      </w:r>
    </w:p>
    <w:p w:rsidR="003A4338" w:rsidRPr="005B4554" w:rsidRDefault="003A4338" w:rsidP="005B4554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JUPITER club, s.r.o. v roce 2015 zrealizoval 670 akcí s celkovou návštěvnost</w:t>
      </w:r>
      <w:r w:rsidR="00DD0FF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í 69.052 osob (viz. </w:t>
      </w:r>
      <w:proofErr w:type="gramStart"/>
      <w:r w:rsidR="00DD0FF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příloha</w:t>
      </w:r>
      <w:proofErr w:type="gramEnd"/>
      <w:r w:rsidR="00DD0FF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č.1 </w:t>
      </w:r>
      <w:r w:rsid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Přehled akcí a pronájmů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). </w:t>
      </w:r>
    </w:p>
    <w:p w:rsidR="003A4338" w:rsidRPr="005B4554" w:rsidRDefault="003A4338" w:rsidP="005B4554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Provoz naplnil naše očekávání a veřejností byly aktivity v novém kul</w:t>
      </w:r>
      <w:r w:rsidR="00DD0FF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turním stánku 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hodnoceny většinou pozitivně.  Největším nedostatkem byla možnost klimatizovat sály v teplých dnech. Stávající vzduchotechnika na to</w:t>
      </w:r>
      <w:r w:rsidR="00022E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horkých dnech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nestačila.</w:t>
      </w:r>
    </w:p>
    <w:p w:rsidR="003A4338" w:rsidRPr="005B4554" w:rsidRDefault="00DD0FF8" w:rsidP="005B4554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Nové provozní podmínky přinesly také</w:t>
      </w:r>
      <w:r w:rsidR="003A433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vyšší </w:t>
      </w:r>
      <w:r w:rsidR="003A433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nároky na odbornou i technickou zdatnost zaměstnanců a také vyšší nároky na revize a pravidelnou údržbu zařízení (výtahy, EPS, vzduchotechnika, </w:t>
      </w:r>
      <w:r w:rsidR="00022E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dieselagregát, elevace, </w:t>
      </w:r>
      <w:r w:rsidR="003A433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zvučení i svícení atd.). 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To se samozřejmě promítlo</w:t>
      </w:r>
      <w:r w:rsidR="003A433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</w:t>
      </w:r>
      <w:r w:rsidR="003A433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finanční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ch</w:t>
      </w:r>
      <w:r w:rsidR="003A4338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nákladů.</w:t>
      </w:r>
    </w:p>
    <w:p w:rsidR="003A4338" w:rsidRPr="005B4554" w:rsidRDefault="00DD0FF8" w:rsidP="005B4554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Výsledek hospodaření bude předložen VH JC ke schválení </w:t>
      </w:r>
      <w:proofErr w:type="gramStart"/>
      <w:r w:rsidR="00022EB2">
        <w:rPr>
          <w:rFonts w:asciiTheme="minorHAnsi" w:eastAsiaTheme="minorHAnsi" w:hAnsiTheme="minorHAnsi" w:cstheme="minorBidi"/>
          <w:sz w:val="22"/>
          <w:szCs w:val="22"/>
          <w:lang w:eastAsia="en-US"/>
        </w:rPr>
        <w:t>13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.4.2016</w:t>
      </w:r>
      <w:proofErr w:type="gramEnd"/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daňové přiznání je předkládáno k 30.6.2016 (viz. výsledek hospodaření, rozvaha atd.)</w:t>
      </w:r>
    </w:p>
    <w:p w:rsidR="00DD0FF8" w:rsidRDefault="00DD0FF8" w:rsidP="005B4554">
      <w:pPr>
        <w:autoSpaceDE/>
        <w:autoSpaceDN/>
        <w:contextualSpacing/>
        <w:jc w:val="both"/>
        <w:rPr>
          <w:b/>
        </w:rPr>
      </w:pPr>
    </w:p>
    <w:p w:rsidR="00DD0FF8" w:rsidRPr="005F0570" w:rsidRDefault="00DD0FF8" w:rsidP="005B4554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Personalistika</w:t>
      </w:r>
    </w:p>
    <w:p w:rsidR="007C4504" w:rsidRPr="007C4504" w:rsidRDefault="007C4504" w:rsidP="005B4554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4504">
        <w:rPr>
          <w:rFonts w:asciiTheme="minorHAnsi" w:eastAsiaTheme="minorHAnsi" w:hAnsiTheme="minorHAnsi" w:cstheme="minorBidi"/>
          <w:sz w:val="22"/>
          <w:szCs w:val="22"/>
          <w:lang w:eastAsia="en-US"/>
        </w:rPr>
        <w:t>K </w:t>
      </w:r>
      <w:proofErr w:type="gramStart"/>
      <w:r w:rsidRPr="007C4504">
        <w:rPr>
          <w:rFonts w:asciiTheme="minorHAnsi" w:eastAsiaTheme="minorHAnsi" w:hAnsiTheme="minorHAnsi" w:cstheme="minorBidi"/>
          <w:sz w:val="22"/>
          <w:szCs w:val="22"/>
          <w:lang w:eastAsia="en-US"/>
        </w:rPr>
        <w:t>31.3.</w:t>
      </w:r>
      <w:r w:rsid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2015</w:t>
      </w:r>
      <w:proofErr w:type="gramEnd"/>
      <w:r w:rsidRPr="007C45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byl v JC zrušen úsek týdeníku Velkomeziříčsko a byly zahájeny přípravy na vytvoření nového  úseku medializace a komunikace.</w:t>
      </w:r>
    </w:p>
    <w:p w:rsidR="007C4504" w:rsidRPr="005B4554" w:rsidRDefault="007C4504" w:rsidP="005B4554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Byl rozvázán k </w:t>
      </w:r>
      <w:proofErr w:type="gramStart"/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31.3</w:t>
      </w:r>
      <w:proofErr w:type="gramEnd"/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. 2015 pracovní poměr dohodou s Ing. Horkou</w:t>
      </w:r>
      <w:r w:rsid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22EB2" w:rsidRDefault="007C4504" w:rsidP="005B4554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Valná hromada Jupiter clubu s.r.o. </w:t>
      </w:r>
      <w:r w:rsidR="005B4554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ze dne </w:t>
      </w:r>
      <w:proofErr w:type="gramStart"/>
      <w:r w:rsidR="005B4554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8.4. 2015</w:t>
      </w:r>
      <w:proofErr w:type="gramEnd"/>
      <w:r w:rsid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rozhodla</w:t>
      </w:r>
      <w:r w:rsid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zřízení úseku medializace a 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komunikace v rámci organizační složky Jupiter clu</w:t>
      </w:r>
      <w:r w:rsid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 s.r.o. Velké Meziříčí. </w:t>
      </w:r>
    </w:p>
    <w:p w:rsidR="005F0570" w:rsidRDefault="005B4554" w:rsidP="005B4554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Nový organizační úsek </w:t>
      </w:r>
      <w:r w:rsidR="00211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následně </w:t>
      </w:r>
      <w:r w:rsidR="00A5511D">
        <w:rPr>
          <w:rFonts w:asciiTheme="minorHAnsi" w:eastAsiaTheme="minorHAnsi" w:hAnsiTheme="minorHAnsi" w:cstheme="minorBidi"/>
          <w:sz w:val="22"/>
          <w:szCs w:val="22"/>
          <w:lang w:eastAsia="en-US"/>
        </w:rPr>
        <w:t>zajišťoval pod vedením Bc. Martiny Strnadové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propagaci společnosti a </w:t>
      </w: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kompletní aktuální informace o dění ve městě a přilehlém okolí</w:t>
      </w:r>
      <w:r w:rsidR="00A5511D">
        <w:rPr>
          <w:rFonts w:asciiTheme="minorHAnsi" w:eastAsiaTheme="minorHAnsi" w:hAnsiTheme="minorHAnsi" w:cstheme="minorBidi"/>
          <w:sz w:val="22"/>
          <w:szCs w:val="22"/>
          <w:lang w:eastAsia="en-US"/>
        </w:rPr>
        <w:t>. K tomuto účelu byl</w:t>
      </w:r>
      <w:r w:rsidR="00211B4E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5511D">
        <w:rPr>
          <w:rFonts w:asciiTheme="minorHAnsi" w:eastAsiaTheme="minorHAnsi" w:hAnsiTheme="minorHAnsi" w:cstheme="minorBidi"/>
          <w:sz w:val="22"/>
          <w:szCs w:val="22"/>
          <w:lang w:eastAsia="en-US"/>
        </w:rPr>
        <w:t>zřízeny</w:t>
      </w:r>
      <w:r w:rsid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5F0570" w:rsidRDefault="005F0570" w:rsidP="005F0570">
      <w:pPr>
        <w:pStyle w:val="Bezmezer"/>
        <w:numPr>
          <w:ilvl w:val="0"/>
          <w:numId w:val="1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enní w</w:t>
      </w:r>
      <w:r w:rsidR="007C4504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ebový informační portál</w:t>
      </w:r>
      <w:r w:rsid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který denně </w:t>
      </w:r>
      <w:r w:rsidR="007C4504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přináší v průměru čtyři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zprávy z města a místních částí</w:t>
      </w:r>
      <w:r w:rsidR="007C4504"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C4504" w:rsidRPr="005B4554" w:rsidRDefault="007C4504" w:rsidP="005F0570">
      <w:pPr>
        <w:pStyle w:val="Bezmezer"/>
        <w:numPr>
          <w:ilvl w:val="0"/>
          <w:numId w:val="1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Týdeník v podobě e-mailového </w:t>
      </w:r>
      <w:proofErr w:type="spellStart"/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newsletteru</w:t>
      </w:r>
      <w:proofErr w:type="spellEnd"/>
    </w:p>
    <w:p w:rsidR="007C4504" w:rsidRDefault="007C4504" w:rsidP="005F0570">
      <w:pPr>
        <w:pStyle w:val="Bezmezer"/>
        <w:numPr>
          <w:ilvl w:val="0"/>
          <w:numId w:val="1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Komunikace na sociálních sítích – rychlé zprávy na </w:t>
      </w:r>
      <w:hyperlink r:id="rId6" w:tgtFrame="_blank" w:history="1">
        <w:proofErr w:type="spellStart"/>
        <w:r w:rsidRPr="005B4554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facebookové</w:t>
        </w:r>
        <w:proofErr w:type="spellEnd"/>
        <w:r w:rsidRPr="005B4554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</w:t>
        </w:r>
      </w:hyperlink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stránce Velkomeziříčsko a videa na </w:t>
      </w:r>
      <w:proofErr w:type="spellStart"/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>YouTube</w:t>
      </w:r>
      <w:proofErr w:type="spellEnd"/>
      <w:r w:rsidRPr="005B45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7" w:tgtFrame="_blank" w:history="1">
        <w:r w:rsidRPr="005B4554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kanálu</w:t>
        </w:r>
      </w:hyperlink>
      <w:r w:rsid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Velkomeziříčsko</w:t>
      </w:r>
    </w:p>
    <w:p w:rsidR="007C4504" w:rsidRPr="005F0570" w:rsidRDefault="005F0570" w:rsidP="005B4554">
      <w:pPr>
        <w:pStyle w:val="Bezmezer"/>
        <w:numPr>
          <w:ilvl w:val="0"/>
          <w:numId w:val="1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Tištěný měsíčník, který dostává cca 5030 domácností zdarma do svých schránek, zbývajících cca 400ks je k dispozici na IC a v JC</w:t>
      </w:r>
    </w:p>
    <w:p w:rsidR="007C4504" w:rsidRPr="005B4554" w:rsidRDefault="007C4504" w:rsidP="00DD0FF8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0FF8" w:rsidRPr="005F0570" w:rsidRDefault="00DD0FF8" w:rsidP="00DD0FF8">
      <w:pPr>
        <w:autoSpaceDE/>
        <w:autoSpaceDN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Kulturně společenské aktivity</w:t>
      </w:r>
    </w:p>
    <w:p w:rsidR="00022EB2" w:rsidRDefault="003A4338" w:rsidP="005F0570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Programový úsek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vede Zuzana </w:t>
      </w:r>
      <w:proofErr w:type="spellStart"/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Herodesová</w:t>
      </w:r>
      <w:proofErr w:type="spellEnd"/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jejíž pracovní náplň zahrnuje především zajištění kulturních akcí v prostorách J-clubu: ve velkém sále, ve výstavní síni, v kině a také spolupráci se zájmovými organizacemi.  Vybírá kulturní akce, koordinuje jejich organizování a s ním související požadavky ve spolupráci s ostatními zaměstnanci J-clubu. Jejími spolupracovníky jsou Jiří Kubiš (zvučení světla, instalace výstav atd.), Milan Teplý (příprava prostor, správa a údržba techniky – kotelna, vzduchotechnika atd.) a Simona Fňukalová (část úvazku - zájmové útvary, propagace správa kalendáře akcí na webu atd.) </w:t>
      </w:r>
    </w:p>
    <w:p w:rsidR="003A4338" w:rsidRPr="005F0570" w:rsidRDefault="003A4338" w:rsidP="005F0570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Nabídka pořadů je zajímavá pro běžného i náročného diváka či posluchače. Pořady jsou vybírány podle předpokládaného zájmu diváka tak, aby maximálně pokryly náklady a zisk případně doplnil ztrátu jiné kulturní akce. </w:t>
      </w:r>
    </w:p>
    <w:p w:rsidR="003A4338" w:rsidRPr="005F0570" w:rsidRDefault="003A4338" w:rsidP="00DD0FF8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Úsek kina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vede Hana Svobodová.  Zajišťuje filmovou nabídku ve spolupráci s fil</w:t>
      </w:r>
      <w:r w:rsid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movými distribucemi, odpovídá za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web kina, zpracovává statistiku i vyúčtování jednotlivých představení (předkládá ekonomickému úseku), koordinuje práci promítačů</w:t>
      </w:r>
      <w:r w:rsid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Zabezpečuje rovněž pořady pro děti 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činnost 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loutkohereckého souboru. </w:t>
      </w:r>
    </w:p>
    <w:p w:rsidR="005F0570" w:rsidRDefault="003A4338" w:rsidP="005F0570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Z. </w:t>
      </w:r>
      <w:proofErr w:type="spellStart"/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Herodesová</w:t>
      </w:r>
      <w:proofErr w:type="spellEnd"/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H. Svobodová zajišťují předprodej a prod</w:t>
      </w:r>
      <w:r w:rsid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ej vstupenek na všechny akce a 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představení pořádaných J-clubem. Vyúčtování předkládají </w:t>
      </w:r>
      <w:r w:rsidR="00211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ke kontrole 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ekonomickému úseku, který vstupenky na akce připravuje. Převážně také</w:t>
      </w:r>
      <w:r w:rsid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zajišťují pořadatelskou službu na realizovaných akcích.</w:t>
      </w:r>
    </w:p>
    <w:p w:rsidR="002702A0" w:rsidRDefault="002702A0" w:rsidP="005F0570">
      <w:pPr>
        <w:pStyle w:val="Bezmezer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A543C" w:rsidRDefault="00BA543C" w:rsidP="005F0570">
      <w:pPr>
        <w:pStyle w:val="Bezmezer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A543C" w:rsidRDefault="00BA543C" w:rsidP="005F0570">
      <w:pPr>
        <w:pStyle w:val="Bezmezer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A4338" w:rsidRPr="005F0570" w:rsidRDefault="005F0570" w:rsidP="005F0570">
      <w:pPr>
        <w:pStyle w:val="Bezmezer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A</w:t>
      </w:r>
      <w:r w:rsidR="003A4338" w:rsidRPr="005F0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kce pořádané v J-clubu: </w:t>
      </w:r>
    </w:p>
    <w:p w:rsidR="003A4338" w:rsidRPr="005F0570" w:rsidRDefault="003A4338" w:rsidP="005F0570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highlight w:val="green"/>
          <w:lang w:eastAsia="en-US"/>
        </w:rPr>
        <w:t>Způsob organizování kulturní akce:</w:t>
      </w:r>
    </w:p>
    <w:p w:rsidR="005F0570" w:rsidRPr="002702A0" w:rsidRDefault="005F0570" w:rsidP="002702A0">
      <w:pPr>
        <w:pStyle w:val="Bezmezer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Formou pronájmu </w:t>
      </w:r>
      <w:r w:rsidR="003A4338" w:rsidRP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dle výběru z burzy pořadů </w:t>
      </w:r>
    </w:p>
    <w:p w:rsidR="002702A0" w:rsidRDefault="005F0570" w:rsidP="002702A0">
      <w:pPr>
        <w:pStyle w:val="Bezmezer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3A4338" w:rsidRP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výběru a návrhu pracovnice programového </w:t>
      </w:r>
      <w:r w:rsidR="002702A0" w:rsidRP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úseku</w:t>
      </w:r>
    </w:p>
    <w:p w:rsidR="00765344" w:rsidRDefault="002702A0" w:rsidP="002702A0">
      <w:pPr>
        <w:pStyle w:val="Bezmezer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Akce ve spolupráci</w:t>
      </w:r>
    </w:p>
    <w:p w:rsidR="003A4338" w:rsidRPr="00765344" w:rsidRDefault="003A4338" w:rsidP="00765344">
      <w:pPr>
        <w:pStyle w:val="Bezmezer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02A0">
        <w:t xml:space="preserve"> </w:t>
      </w:r>
    </w:p>
    <w:p w:rsidR="003A4338" w:rsidRPr="005F0570" w:rsidRDefault="003A4338" w:rsidP="00DD0FF8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1B4E">
        <w:rPr>
          <w:rFonts w:asciiTheme="minorHAnsi" w:eastAsiaTheme="minorHAnsi" w:hAnsiTheme="minorHAnsi" w:cstheme="minorBidi"/>
          <w:sz w:val="22"/>
          <w:szCs w:val="22"/>
          <w:highlight w:val="cyan"/>
          <w:lang w:eastAsia="en-US"/>
        </w:rPr>
        <w:t>Druhy kulturních akcí:</w:t>
      </w:r>
    </w:p>
    <w:p w:rsidR="003A4338" w:rsidRPr="005F0570" w:rsidRDefault="002702A0" w:rsidP="00DD0FF8">
      <w:pPr>
        <w:pStyle w:val="Bezmezer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oncerty populární hudby</w:t>
      </w:r>
    </w:p>
    <w:p w:rsidR="003A4338" w:rsidRPr="005F0570" w:rsidRDefault="002702A0" w:rsidP="00DD0FF8">
      <w:pPr>
        <w:pStyle w:val="Bezmezer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oncerty vážné hudby</w:t>
      </w:r>
    </w:p>
    <w:p w:rsidR="003A4338" w:rsidRPr="005F0570" w:rsidRDefault="003A4338" w:rsidP="00DD0FF8">
      <w:pPr>
        <w:pStyle w:val="Bezmezer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KPH (Kruh přátel hudby) permanentk</w:t>
      </w:r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a na 4 koncerty (2 cykly ročně)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</w:t>
      </w:r>
    </w:p>
    <w:p w:rsidR="003A4338" w:rsidRPr="005F0570" w:rsidRDefault="003A4338" w:rsidP="00DD0FF8">
      <w:pPr>
        <w:pStyle w:val="Bezmezer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2 koncerty mezinárodní hude</w:t>
      </w:r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bní festival </w:t>
      </w:r>
      <w:proofErr w:type="spellStart"/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Concentus</w:t>
      </w:r>
      <w:proofErr w:type="spellEnd"/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Moraviae</w:t>
      </w:r>
      <w:proofErr w:type="spellEnd"/>
    </w:p>
    <w:p w:rsidR="003A4338" w:rsidRPr="005F0570" w:rsidRDefault="002702A0" w:rsidP="00DD0FF8">
      <w:pPr>
        <w:pStyle w:val="Bezmezer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ivadelní představení – permanentka na 4 divade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lní představení (2 cykly ročně)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A4338" w:rsidRPr="005F0570" w:rsidRDefault="003A4338" w:rsidP="00DD0FF8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další divadelní představení bez permanentek (nap</w:t>
      </w:r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ř. Táta, Hrdý </w:t>
      </w:r>
      <w:proofErr w:type="spellStart"/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Budžes</w:t>
      </w:r>
      <w:proofErr w:type="spellEnd"/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, Partička)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ivadelní představení pro děti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Loutkoherecká představení pro děti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ýstavy (např. ZUŠ, velikonoční a vánočn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í výstava ČSŽ, DDM, DS Březejc)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Přednášky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ýchovné koncerty, divadelní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představení pro žáky ZŠ, SŠ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řehlídka středních škol - cca 30 středních škol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poplatek 150 Kč/ místo pro SŠ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A4338" w:rsidRPr="005F0570" w:rsidRDefault="003A4338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Evropský filozofický festival – před</w:t>
      </w:r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nášky, diskuze, kulturní pořady</w:t>
      </w:r>
    </w:p>
    <w:p w:rsidR="003A4338" w:rsidRPr="005F0570" w:rsidRDefault="003A4338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4 klíče k velkomeziříčské bráně</w:t>
      </w:r>
    </w:p>
    <w:p w:rsidR="003A4338" w:rsidRPr="005F0570" w:rsidRDefault="003A4338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Velkomeziříčské kulturní léto 2015 – rozpočet 300 tis. Kč – vystupující má možnost se přihlásit do systému, skladbu a servis akce poskytuje Jupiter club (příprava prostor pro účinkující i diváky, pořadatelskou službu, spolupráce s městskou policií, vyúčtování, proplácení odměn vystupující + ozvučen</w:t>
      </w:r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í atd.),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dventní světýlka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rozsvícení vánoční výzdoby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Vánoční koncert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lesy, taneční zábavy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– pořádané různými organizacemi</w:t>
      </w:r>
    </w:p>
    <w:p w:rsidR="003A4338" w:rsidRPr="005F0570" w:rsidRDefault="002702A0" w:rsidP="00DD0FF8">
      <w:pPr>
        <w:pStyle w:val="Bezmezer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ednání zastupitelstva města – koncertní sál poskytnut zdarma, včetně práce technika, ples města – příprava programu plesu, moderování, technické zabezpečení</w:t>
      </w:r>
    </w:p>
    <w:p w:rsidR="003A4338" w:rsidRPr="002702A0" w:rsidRDefault="003A4338" w:rsidP="00DD0FF8">
      <w:pPr>
        <w:pStyle w:val="Bezmezer"/>
        <w:ind w:left="720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3A4338" w:rsidRPr="002702A0" w:rsidRDefault="003A4338" w:rsidP="00DD0FF8">
      <w:pPr>
        <w:pStyle w:val="Bezmezer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702A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ZÁJMOVÁ ČINNOST PŘI J-CLUBU</w:t>
      </w:r>
    </w:p>
    <w:p w:rsidR="003A4338" w:rsidRDefault="002702A0" w:rsidP="00DD0FF8">
      <w:pPr>
        <w:pStyle w:val="Bezmezer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</w:t>
      </w:r>
      <w:r w:rsidR="003A4338" w:rsidRPr="0076534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outkoherecké divadlo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sál s kapacitou 100 míst, vstupné 40 Kč, 2x měsíčně (říjen – duben), zájem spíše ze školek z vesnic, </w:t>
      </w:r>
      <w:r w:rsid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vyprodáno</w:t>
      </w:r>
    </w:p>
    <w:p w:rsidR="00396FC9" w:rsidRPr="00396FC9" w:rsidRDefault="00396FC9" w:rsidP="00396FC9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vedoucí souboru: Kateřina Maloušková</w:t>
      </w:r>
    </w:p>
    <w:p w:rsidR="00396FC9" w:rsidRPr="00396FC9" w:rsidRDefault="00396FC9" w:rsidP="00396FC9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technické zázemí: Vladimír </w:t>
      </w:r>
      <w:proofErr w:type="spellStart"/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Mikysek</w:t>
      </w:r>
      <w:proofErr w:type="spellEnd"/>
    </w:p>
    <w:p w:rsidR="00396FC9" w:rsidRPr="00396FC9" w:rsidRDefault="00396FC9" w:rsidP="00396FC9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členové: Václav Slabý, Zdeněk Svoboda, Antonie Svobodová,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Marie Doležalová, Aleš Pól, Martina Bradáčová, Lenka Maloušková,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Radka Jiříčková, Lucie Augustová, Lucie Pantůčková,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Pavla </w:t>
      </w:r>
      <w:proofErr w:type="spellStart"/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Kravalová</w:t>
      </w:r>
      <w:proofErr w:type="spellEnd"/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, Jan Kratochvíl, Radim Svoboda,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Josef Marek, Jakub Sedlák, Jan Smrček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Zdeňka Maloušková, Jana Stoklasová, Věra </w:t>
      </w:r>
      <w:proofErr w:type="spellStart"/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Hugová</w:t>
      </w:r>
      <w:proofErr w:type="spellEnd"/>
    </w:p>
    <w:p w:rsidR="00396FC9" w:rsidRPr="00396FC9" w:rsidRDefault="00396FC9" w:rsidP="00396FC9">
      <w:pPr>
        <w:pStyle w:val="Bezmezer"/>
        <w:ind w:left="720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765344" w:rsidRPr="00765344" w:rsidRDefault="00765344" w:rsidP="00765344">
      <w:pPr>
        <w:pStyle w:val="Bezmezer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Odehraná představení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(většinou se hrají dvakrát):</w:t>
      </w:r>
    </w:p>
    <w:p w:rsidR="00765344" w:rsidRPr="00765344" w:rsidRDefault="00765344" w:rsidP="00396FC9">
      <w:pPr>
        <w:pStyle w:val="Bezmezer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Začarovaný Kašpárek </w:t>
      </w:r>
    </w:p>
    <w:p w:rsidR="00765344" w:rsidRPr="00765344" w:rsidRDefault="00765344" w:rsidP="00396FC9">
      <w:pPr>
        <w:pStyle w:val="Bezmezer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Poklad na Krásné hoře</w:t>
      </w:r>
    </w:p>
    <w:p w:rsidR="00765344" w:rsidRPr="00765344" w:rsidRDefault="00765344" w:rsidP="00396FC9">
      <w:pPr>
        <w:pStyle w:val="Bezmezer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Ostrov splněných přání</w:t>
      </w:r>
    </w:p>
    <w:p w:rsidR="00765344" w:rsidRPr="00765344" w:rsidRDefault="00765344" w:rsidP="00396FC9">
      <w:pPr>
        <w:pStyle w:val="Bezmezer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Humpolecká marioneta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Červená Karkulka</w:t>
      </w:r>
    </w:p>
    <w:p w:rsidR="00765344" w:rsidRDefault="00765344" w:rsidP="00396FC9">
      <w:pPr>
        <w:pStyle w:val="Bezmezer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Představení pro školky  - </w:t>
      </w: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Červená Karkulka</w:t>
      </w:r>
    </w:p>
    <w:p w:rsidR="00765344" w:rsidRPr="00765344" w:rsidRDefault="00765344" w:rsidP="00396FC9">
      <w:pPr>
        <w:pStyle w:val="Bezmezer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Pohádka naruby</w:t>
      </w:r>
    </w:p>
    <w:p w:rsidR="00765344" w:rsidRPr="00765344" w:rsidRDefault="00765344" w:rsidP="00396FC9">
      <w:pPr>
        <w:pStyle w:val="Bezmezer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Kašpárek u krále větrů               </w:t>
      </w:r>
    </w:p>
    <w:p w:rsidR="00765344" w:rsidRPr="00765344" w:rsidRDefault="00765344" w:rsidP="00396FC9">
      <w:pPr>
        <w:pStyle w:val="Bezmezer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Dračí komedie</w:t>
      </w:r>
    </w:p>
    <w:p w:rsidR="00765344" w:rsidRPr="00765344" w:rsidRDefault="00765344" w:rsidP="00765344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V říjnu hostovalo </w:t>
      </w: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Humpolecké divadlo - návštěvní představení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 </w:t>
      </w:r>
      <w:r w:rsidRP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Pohádka o zlaté rybce</w:t>
      </w:r>
    </w:p>
    <w:p w:rsidR="00765344" w:rsidRPr="005F0570" w:rsidRDefault="00765344" w:rsidP="00765344">
      <w:pPr>
        <w:pStyle w:val="Bezmezer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5344" w:rsidRDefault="00765344" w:rsidP="00765344">
      <w:pPr>
        <w:pStyle w:val="Bezmezer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lastRenderedPageBreak/>
        <w:t>Vlastivědná a genealogická společnost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podpora: poskytnutí koncertního sálu, projekce, ozvučení, kopírování, technik</w:t>
      </w:r>
    </w:p>
    <w:p w:rsidR="00396FC9" w:rsidRPr="00396FC9" w:rsidRDefault="00396FC9" w:rsidP="00396FC9">
      <w:pPr>
        <w:pStyle w:val="Bezmezer"/>
        <w:ind w:left="72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Činnost:</w:t>
      </w:r>
    </w:p>
    <w:p w:rsidR="00396FC9" w:rsidRPr="00396FC9" w:rsidRDefault="00396FC9" w:rsidP="00396FC9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„Činnost VGS sestává především z pořádání přednášek, besed a zájezdů. V roce 2015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uspořádala VGS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celkem 42 akcí, jichž se zúčastnilo celkem 1809 osob, z toho bylo 904 členů společnosti a 905 hostů z řad veřejnosti. Poprvé v historii společnosti tedy můžeme konstatovat, že zájem veřejnosti předčil zájem vlastníc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 členů," upřesnila předsedkyně H. Švecová</w:t>
      </w:r>
    </w:p>
    <w:p w:rsidR="00396FC9" w:rsidRPr="00396FC9" w:rsidRDefault="00396FC9" w:rsidP="00396FC9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nejdůležitější akce VGS v roce 2015 lze považovat výstavu Pocta gen. Lužovi, dále přednášku ing. Václava Křepelky s názvem Pocta prof. </w:t>
      </w:r>
      <w:proofErr w:type="spellStart"/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Záviškovi</w:t>
      </w:r>
      <w:proofErr w:type="spellEnd"/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. Se zájmem veřejnosti se setkalo představení knihy Ondřeje Červeného Mnoho sirotků a vdov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 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dopoledních hodinách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toto téma uskutečnil Ondřej Červený program pro vyšší stupeň zákl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adních škol a pro školy střední.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 výčtu úspěšných akcí patří i zářijová přednáška Stanislava Motla o Antonínu Kalinovi a dále projekce filmu Život na vsi před 50 léty.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 pozitivním ohlas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mělo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také pořádání ku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zu Strom života, kdy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 zájemci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čtyřech dvouhodinových lekcích v </w:t>
      </w:r>
      <w:proofErr w:type="gramStart"/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Jupiter</w:t>
      </w:r>
      <w:proofErr w:type="gramEnd"/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clubu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seznámili </w:t>
      </w:r>
      <w:r w:rsidRPr="00396FC9">
        <w:rPr>
          <w:rFonts w:asciiTheme="minorHAnsi" w:eastAsiaTheme="minorHAnsi" w:hAnsiTheme="minorHAnsi" w:cstheme="minorBidi"/>
          <w:sz w:val="22"/>
          <w:szCs w:val="22"/>
          <w:lang w:eastAsia="en-US"/>
        </w:rPr>
        <w:t>s počítačovými programy při sestavování rodopisů.</w:t>
      </w:r>
    </w:p>
    <w:p w:rsidR="00396FC9" w:rsidRPr="00D26679" w:rsidRDefault="00396FC9" w:rsidP="00396FC9">
      <w:pPr>
        <w:pStyle w:val="Bezmezer"/>
        <w:ind w:left="720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3A4338" w:rsidRPr="005F0570" w:rsidRDefault="002702A0" w:rsidP="00DD0FF8">
      <w:pPr>
        <w:pStyle w:val="Bezmezer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A</w:t>
      </w:r>
      <w:r w:rsidR="003A4338" w:rsidRPr="00396FC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matérské divadlo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Špatně namíchaný bublifuk, Ikarus</w:t>
      </w:r>
    </w:p>
    <w:p w:rsidR="003A4338" w:rsidRPr="005F0570" w:rsidRDefault="002702A0" w:rsidP="00DD0FF8">
      <w:pPr>
        <w:pStyle w:val="Bezmezer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FC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K</w:t>
      </w:r>
      <w:r w:rsidR="003A4338" w:rsidRPr="00396FC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ulturní pořady místních kulturních spolků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amatérské divadlo (např. </w:t>
      </w:r>
      <w:proofErr w:type="spellStart"/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Tastyjátr</w:t>
      </w:r>
      <w:proofErr w:type="spellEnd"/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, Ochotnický divadelní soubor Budišov)</w:t>
      </w:r>
    </w:p>
    <w:p w:rsidR="003A4338" w:rsidRPr="005F0570" w:rsidRDefault="002702A0" w:rsidP="00DD0FF8">
      <w:pPr>
        <w:pStyle w:val="Bezmezer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511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K</w:t>
      </w:r>
      <w:r w:rsidR="003A4338" w:rsidRPr="00A5511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oncerty pěveckého sboru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S</w:t>
      </w:r>
      <w:r w:rsid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lunko, Sluníčko, hudební skupina 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Stets</w:t>
      </w:r>
      <w:r w:rsidR="00765344">
        <w:rPr>
          <w:rFonts w:asciiTheme="minorHAnsi" w:eastAsiaTheme="minorHAnsi" w:hAnsiTheme="minorHAnsi" w:cstheme="minorBidi"/>
          <w:sz w:val="22"/>
          <w:szCs w:val="22"/>
          <w:lang w:eastAsia="en-US"/>
        </w:rPr>
        <w:t>on</w:t>
      </w:r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podíl na zisku z akce domluven individuálně, </w:t>
      </w:r>
    </w:p>
    <w:p w:rsidR="003A4338" w:rsidRPr="005F0570" w:rsidRDefault="002702A0" w:rsidP="00DD0FF8">
      <w:pPr>
        <w:pStyle w:val="Bezmezer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511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F</w:t>
      </w:r>
      <w:r w:rsidR="003A4338" w:rsidRPr="00A5511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olklórní soubor </w:t>
      </w:r>
      <w:proofErr w:type="spellStart"/>
      <w:r w:rsidR="003A4338" w:rsidRPr="00A5511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Horáčan</w:t>
      </w:r>
      <w:proofErr w:type="spellEnd"/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(původně </w:t>
      </w:r>
      <w:proofErr w:type="spellStart"/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Medříčan</w:t>
      </w:r>
      <w:proofErr w:type="spellEnd"/>
      <w:r w:rsidR="003A4338"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3A4338" w:rsidRPr="002702A0" w:rsidRDefault="003A4338" w:rsidP="00DD0FF8">
      <w:pPr>
        <w:pStyle w:val="Odstavecseseznamem"/>
        <w:spacing w:line="360" w:lineRule="auto"/>
        <w:ind w:left="2160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3A4338" w:rsidRPr="002702A0" w:rsidRDefault="003A4338" w:rsidP="00DD0FF8">
      <w:pPr>
        <w:pStyle w:val="Bezmezer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702A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AKCE VE SPOLUPRÁCI</w:t>
      </w:r>
    </w:p>
    <w:p w:rsidR="003A4338" w:rsidRPr="005F0570" w:rsidRDefault="003A4338" w:rsidP="002702A0">
      <w:pPr>
        <w:pStyle w:val="Bezmezer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Kruh přátel hudby – koncerty vážné hudby, permanentky,</w:t>
      </w:r>
    </w:p>
    <w:p w:rsidR="003A4338" w:rsidRPr="005F0570" w:rsidRDefault="003A4338" w:rsidP="002702A0">
      <w:pPr>
        <w:pStyle w:val="Bezmezer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akce pořádané DDM – symbolická platba za pronájem sálu,</w:t>
      </w:r>
    </w:p>
    <w:p w:rsidR="003A4338" w:rsidRPr="005F0570" w:rsidRDefault="003A4338" w:rsidP="002702A0">
      <w:pPr>
        <w:pStyle w:val="Bezmezer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Dětské středisko Březejc (vánoční strom přání, ples) – J-club platí provozní náklady,</w:t>
      </w:r>
    </w:p>
    <w:p w:rsidR="003A4338" w:rsidRPr="005F0570" w:rsidRDefault="003A4338" w:rsidP="002702A0">
      <w:pPr>
        <w:pStyle w:val="Bezmezer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Rozloučení se žáky 9. ročníku základních škol,</w:t>
      </w:r>
    </w:p>
    <w:p w:rsidR="003A4338" w:rsidRPr="005F0570" w:rsidRDefault="003A4338" w:rsidP="002702A0">
      <w:pPr>
        <w:pStyle w:val="Bezmezer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Český svaz žen – velikonoční a vánoční výstava,</w:t>
      </w:r>
    </w:p>
    <w:p w:rsidR="003A4338" w:rsidRPr="005F0570" w:rsidRDefault="003A4338" w:rsidP="002702A0">
      <w:pPr>
        <w:pStyle w:val="Bezmezer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Město Velké Meziříčí – neplatí za pronájem prostor, anketa Sportovec města, </w:t>
      </w:r>
    </w:p>
    <w:p w:rsidR="003A4338" w:rsidRPr="005F0570" w:rsidRDefault="003A4338" w:rsidP="002702A0">
      <w:pPr>
        <w:pStyle w:val="Bezmezer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>Ekologické středisko Ostrůvek – Dny zdraví.</w:t>
      </w:r>
    </w:p>
    <w:p w:rsidR="002702A0" w:rsidRPr="00D26679" w:rsidRDefault="002702A0" w:rsidP="00DD0FF8">
      <w:pPr>
        <w:spacing w:line="360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A4DFB" w:rsidRPr="002702A0" w:rsidRDefault="008A4DFB" w:rsidP="00DD0FF8">
      <w:pPr>
        <w:autoSpaceDE/>
        <w:autoSpaceDN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702A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Nejzajímavější akce:</w:t>
      </w:r>
    </w:p>
    <w:p w:rsidR="002702A0" w:rsidRDefault="008A4DFB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02A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Koncerty:</w:t>
      </w:r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E3005" w:rsidRDefault="008A4DFB" w:rsidP="00ED5CA2">
      <w:pPr>
        <w:autoSpaceDE/>
        <w:autoSpaceDN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ČECHOMOR, Michal David, </w:t>
      </w:r>
      <w:proofErr w:type="spellStart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Chinaski</w:t>
      </w:r>
      <w:proofErr w:type="spellEnd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Uriah</w:t>
      </w:r>
      <w:proofErr w:type="spellEnd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Heep</w:t>
      </w:r>
      <w:proofErr w:type="spellEnd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, Vl</w:t>
      </w:r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adimír Mišík, </w:t>
      </w:r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Hradišťan, Radim Hladík a Blue </w:t>
      </w:r>
      <w:proofErr w:type="spellStart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Effect</w:t>
      </w:r>
      <w:proofErr w:type="spellEnd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Veselá trojka, Duo </w:t>
      </w:r>
      <w:proofErr w:type="spellStart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Jamaha</w:t>
      </w:r>
      <w:proofErr w:type="spellEnd"/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, Věra Špinarová, Věra Martinová</w:t>
      </w:r>
      <w:r w:rsidR="002702A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D5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ED5CA2" w:rsidRPr="00A262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Concentus</w:t>
      </w:r>
      <w:proofErr w:type="spellEnd"/>
      <w:r w:rsidR="00ED5CA2" w:rsidRPr="00A262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ED5CA2" w:rsidRPr="00A262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Moraviae</w:t>
      </w:r>
      <w:proofErr w:type="spellEnd"/>
    </w:p>
    <w:p w:rsidR="00ED5CA2" w:rsidRDefault="00ED5CA2" w:rsidP="00ED5CA2">
      <w:pPr>
        <w:autoSpaceDE/>
        <w:autoSpaceDN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A4DFB" w:rsidRPr="00AE3005" w:rsidRDefault="00AE3005" w:rsidP="00A2623A">
      <w:pPr>
        <w:autoSpaceDE/>
        <w:autoSpaceDN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02A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Velkomeziříčské kulturní léto</w:t>
      </w:r>
      <w:r w:rsidRPr="00A5511D">
        <w:rPr>
          <w:rFonts w:ascii="Calibri" w:hAnsi="Calibri"/>
          <w:b/>
          <w:bCs/>
          <w:color w:val="000000"/>
          <w:sz w:val="20"/>
          <w:szCs w:val="20"/>
        </w:rPr>
        <w:t xml:space="preserve"> 2015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850"/>
        <w:gridCol w:w="709"/>
        <w:gridCol w:w="3118"/>
        <w:gridCol w:w="993"/>
        <w:gridCol w:w="850"/>
      </w:tblGrid>
      <w:tr w:rsidR="00D26679" w:rsidRPr="00A5511D" w:rsidTr="00AE3005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6679" w:rsidRPr="00A5511D" w:rsidRDefault="00D26679" w:rsidP="00A5511D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A5511D">
              <w:rPr>
                <w:rFonts w:ascii="Calibri" w:hAnsi="Calibri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6679" w:rsidRPr="00A5511D" w:rsidRDefault="00D26679" w:rsidP="00A5511D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A5511D">
              <w:rPr>
                <w:rFonts w:ascii="Calibri" w:hAnsi="Calibri"/>
                <w:color w:val="000000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6679" w:rsidRPr="00A5511D" w:rsidRDefault="00D26679" w:rsidP="00A5511D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A5511D">
              <w:rPr>
                <w:rFonts w:ascii="Calibri" w:hAnsi="Calibri"/>
                <w:color w:val="000000"/>
                <w:sz w:val="20"/>
                <w:szCs w:val="20"/>
              </w:rPr>
              <w:t>diváků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26679" w:rsidRPr="00A5511D" w:rsidRDefault="00D26679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A5511D">
              <w:rPr>
                <w:rFonts w:ascii="Calibri" w:hAnsi="Calibri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26679" w:rsidRPr="00A5511D" w:rsidRDefault="00D26679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A5511D">
              <w:rPr>
                <w:rFonts w:ascii="Calibri" w:hAnsi="Calibri"/>
                <w:color w:val="000000"/>
                <w:sz w:val="20"/>
                <w:szCs w:val="20"/>
              </w:rPr>
              <w:t>termín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26679" w:rsidRPr="00A5511D" w:rsidRDefault="00D26679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A5511D">
              <w:rPr>
                <w:rFonts w:ascii="Calibri" w:hAnsi="Calibri"/>
                <w:color w:val="000000"/>
                <w:sz w:val="20"/>
                <w:szCs w:val="20"/>
              </w:rPr>
              <w:t>diváků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E3005" w:rsidP="00A5511D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ZUŠ VELKÉ MEZIŘÍČÍ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E3005" w:rsidP="00A5511D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28.5.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E3005" w:rsidP="00A5511D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STRÁNÍCI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DIRTY WAY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 xml:space="preserve">11.7.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74208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AE3005" w:rsidRPr="00966D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STAROSTA ZÁBAVA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966DAE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HUTKA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E3005" w:rsidP="00A5511D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966DAE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SWIN DIXIE</w:t>
            </w:r>
            <w:r w:rsidR="00AE3005" w:rsidRPr="00966D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9.8.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211B4E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PAVLÍNA JÍŠOVÁ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17.7.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966DAE" w:rsidP="00A5511D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STETSON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ČADÍCI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18.7.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74208" w:rsidP="00A5511D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MISTŘÍNANKA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16.8.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</w:tr>
      <w:tr w:rsidR="00AE3005" w:rsidRPr="00A74208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ČADÍCI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E3005" w:rsidP="00A5511D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FIND YOUR DESTINY A JINÍ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19.8.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ČADÍCI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20.7.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E3005" w:rsidP="00A5511D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FRANTIŠEK KASL</w:t>
            </w:r>
            <w:r w:rsidR="00966DAE" w:rsidRPr="00966DAE">
              <w:rPr>
                <w:rFonts w:ascii="Calibri" w:hAnsi="Calibri"/>
                <w:color w:val="000000"/>
                <w:sz w:val="20"/>
                <w:szCs w:val="20"/>
              </w:rPr>
              <w:t xml:space="preserve"> A BAND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21.8.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ČADÍCI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21.7.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74208" w:rsidP="00A5511D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E3005" w:rsidRPr="00966DAE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KUSPOKON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VESELÁCI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JANNIS MORAS A BAND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23.8.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AE3005" w:rsidRPr="00A5511D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966DAE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FOUR COVER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26.7.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05" w:rsidRPr="00966DAE" w:rsidRDefault="00A74208" w:rsidP="00A74208">
            <w:pPr>
              <w:pStyle w:val="Bezmezer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CKB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28.8.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A7420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A74208" w:rsidRPr="00966DAE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AE3005" w:rsidRPr="00966DAE" w:rsidTr="00AE3005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PEPA ŠTROS A K NEZAPLACENÍ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31.7.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05" w:rsidRPr="00966DAE" w:rsidRDefault="00AE3005" w:rsidP="0036159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361594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ŽALOZPĚV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211B4E">
            <w:pPr>
              <w:autoSpaceDE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30.8.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05" w:rsidRPr="00966DAE" w:rsidRDefault="00AE3005" w:rsidP="00211B4E">
            <w:pPr>
              <w:autoSpaceDE/>
              <w:autoSpaceDN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6DA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211B4E" w:rsidRPr="00966DAE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</w:tbl>
    <w:p w:rsidR="00AE3005" w:rsidRDefault="00AE3005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3005" w:rsidRDefault="00AE3005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3005" w:rsidRDefault="00AE3005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623A" w:rsidRPr="008A4DFB" w:rsidRDefault="00A2623A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543C" w:rsidRDefault="008A4DFB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43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Plesy:</w:t>
      </w:r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A4DFB" w:rsidRPr="008A4DFB" w:rsidRDefault="008A4DFB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Agro Měřín, POEX, Charitativní, Studentský, Hotelová škola, Město VM, Motoristický</w:t>
      </w:r>
    </w:p>
    <w:p w:rsidR="008A4DFB" w:rsidRPr="008A4DFB" w:rsidRDefault="008A4DFB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43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Divadla:</w:t>
      </w:r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A543C" w:rsidRPr="00BA543C" w:rsidRDefault="00BA543C" w:rsidP="00BA543C">
      <w:pPr>
        <w:pStyle w:val="Odstavecseseznamem"/>
        <w:numPr>
          <w:ilvl w:val="0"/>
          <w:numId w:val="19"/>
        </w:num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dětská</w:t>
      </w:r>
    </w:p>
    <w:p w:rsidR="008A4DFB" w:rsidRPr="008A4DFB" w:rsidRDefault="00A5511D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divadla:</w:t>
      </w:r>
      <w:r w:rsidR="008A4DFB"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Duha, Věž, Hudební divadlo, Michal </w:t>
      </w:r>
      <w:proofErr w:type="spellStart"/>
      <w:r w:rsidR="008A4DFB"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Nesvatba</w:t>
      </w:r>
      <w:proofErr w:type="spellEnd"/>
      <w:r w:rsidR="008A4DFB"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>, Hofmanovo divadlo, Loutkové divadlo</w:t>
      </w:r>
    </w:p>
    <w:p w:rsidR="00BA543C" w:rsidRDefault="00BA543C" w:rsidP="00BA543C">
      <w:pPr>
        <w:pStyle w:val="Odstavecseseznamem"/>
        <w:numPr>
          <w:ilvl w:val="0"/>
          <w:numId w:val="19"/>
        </w:num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dospělí</w:t>
      </w:r>
    </w:p>
    <w:p w:rsidR="008A4DFB" w:rsidRPr="00BA543C" w:rsidRDefault="008A4DFB" w:rsidP="00BA543C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4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Teď ne!, Koule, Táta, Hrdý </w:t>
      </w:r>
      <w:proofErr w:type="spellStart"/>
      <w:r w:rsidRPr="00BA543C">
        <w:rPr>
          <w:rFonts w:asciiTheme="minorHAnsi" w:eastAsiaTheme="minorHAnsi" w:hAnsiTheme="minorHAnsi" w:cstheme="minorBidi"/>
          <w:sz w:val="22"/>
          <w:szCs w:val="22"/>
          <w:lang w:eastAsia="en-US"/>
        </w:rPr>
        <w:t>Budžes</w:t>
      </w:r>
      <w:proofErr w:type="spellEnd"/>
      <w:r w:rsidRPr="00BA54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Chlap na zabití, Prachy, Hlava v písku, Jenom život, Jak ten čas letí, Noc na Karlštejně, </w:t>
      </w:r>
    </w:p>
    <w:p w:rsidR="008A4DFB" w:rsidRPr="005F0570" w:rsidRDefault="008A4DFB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43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Ostatní akce:</w:t>
      </w:r>
      <w:r w:rsidRPr="005F05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D5CA2" w:rsidRPr="008A4DFB" w:rsidRDefault="00ED5CA2" w:rsidP="00ED5CA2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5C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Sportovec města, Rodáci, Moravský rybářský svaz, Ukončení školního roku ZŠ, školení fotbalových rozhodčích kraje Vysočina, Školení SEKO (Kraj vysočina), výstavy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8A4DFB" w:rsidRDefault="008A4DFB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Evropský festival filozofie</w:t>
      </w:r>
      <w:r w:rsidRPr="008A4D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2623A" w:rsidRDefault="00A2623A" w:rsidP="00A2623A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Konflikt a soulad. Dva pojmy, dva protiklady, které byly ústředním tématem letošního, devátého ročníku našeho filozofického festivalu. Oba pojmy mají celou řadu výkladů, objasnění a interpretací. Festival se vydařil, opět se podařila zajistit kvalitní účast přednášejících osobností, filozofické bloky vhodně doplnily kulturní aktivity.</w:t>
      </w:r>
    </w:p>
    <w:p w:rsidR="00A2623A" w:rsidRPr="00A2623A" w:rsidRDefault="00A2623A" w:rsidP="00A2623A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týdenním maratonu přednášek se vystřídaly téměř dvě desítky významných osobností z řad filozofů: Miloš Mendel, Michael Hauser, Pavel Barša, Ivanka </w:t>
      </w:r>
      <w:proofErr w:type="spellStart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Mariposa</w:t>
      </w:r>
      <w:proofErr w:type="spellEnd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Čonková, Yasar Abu </w:t>
      </w:r>
      <w:proofErr w:type="spellStart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Ghosch</w:t>
      </w:r>
      <w:proofErr w:type="spellEnd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Zora Hesová, Olga Lomová, Josef Šmajs, Stanislav Komárek, Petr Dvořák, Juraj </w:t>
      </w:r>
      <w:proofErr w:type="spellStart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Hvorecký</w:t>
      </w:r>
      <w:proofErr w:type="spellEnd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Vladimír Smékal, Josef Krob, Luboš Bělka, Dalibor Papoušek, Miloš Štědroň. Reální pohled do problémových oblastí světa nám poskytli váleční novináři </w:t>
      </w:r>
      <w:proofErr w:type="spellStart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Ramiro</w:t>
      </w:r>
      <w:proofErr w:type="spellEnd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Villapadierna</w:t>
      </w:r>
      <w:proofErr w:type="spellEnd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Michal Kubal.</w:t>
      </w:r>
    </w:p>
    <w:p w:rsidR="00A2623A" w:rsidRPr="00A2623A" w:rsidRDefault="00A2623A" w:rsidP="00A2623A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Téměř dvacet kulturních akcí nabídlo divákům koncerty, výstavy, divadelní představení, floristickou show, ale i show našich nejlepších </w:t>
      </w:r>
      <w:proofErr w:type="spellStart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slamerů</w:t>
      </w:r>
      <w:proofErr w:type="spellEnd"/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. V nabídce byly také tři filmové projekce, jednoho amatérského dokumentu a dvou profesionálních filmů.</w:t>
      </w:r>
    </w:p>
    <w:p w:rsidR="00A2623A" w:rsidRPr="00A2623A" w:rsidRDefault="00A2623A" w:rsidP="00A2623A">
      <w:pPr>
        <w:autoSpaceDE/>
        <w:autoSpaceDN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Statistické údaje o akci</w:t>
      </w:r>
    </w:p>
    <w:p w:rsidR="00A2623A" w:rsidRPr="00A2623A" w:rsidRDefault="00A2623A" w:rsidP="00A2623A">
      <w:pPr>
        <w:numPr>
          <w:ilvl w:val="0"/>
          <w:numId w:val="24"/>
        </w:numPr>
        <w:tabs>
          <w:tab w:val="num" w:pos="720"/>
        </w:tabs>
        <w:autoSpaceDE/>
        <w:autoSpaceDN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počet návštěvníků – cca 3600</w:t>
      </w:r>
    </w:p>
    <w:p w:rsidR="00A2623A" w:rsidRPr="00A2623A" w:rsidRDefault="00A2623A" w:rsidP="00A2623A">
      <w:pPr>
        <w:widowControl w:val="0"/>
        <w:numPr>
          <w:ilvl w:val="0"/>
          <w:numId w:val="24"/>
        </w:numPr>
        <w:tabs>
          <w:tab w:val="num" w:pos="720"/>
        </w:tabs>
        <w:suppressAutoHyphens/>
        <w:autoSpaceDE/>
        <w:autoSpaceDN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Public relations - o festivalu podrobně informovali </w:t>
      </w:r>
    </w:p>
    <w:p w:rsidR="00A2623A" w:rsidRPr="00A2623A" w:rsidRDefault="00A2623A" w:rsidP="00A2623A">
      <w:pPr>
        <w:widowControl w:val="0"/>
        <w:numPr>
          <w:ilvl w:val="0"/>
          <w:numId w:val="25"/>
        </w:numPr>
        <w:suppressAutoHyphens/>
        <w:autoSpaceDE/>
        <w:autoSpaceDN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regionální deníky: MF Dnes, Deník, Velkomeziříčsko, Horácké listy, Lidové noviny</w:t>
      </w:r>
    </w:p>
    <w:p w:rsidR="00A2623A" w:rsidRPr="00A2623A" w:rsidRDefault="00A2623A" w:rsidP="00A2623A">
      <w:pPr>
        <w:widowControl w:val="0"/>
        <w:numPr>
          <w:ilvl w:val="0"/>
          <w:numId w:val="25"/>
        </w:numPr>
        <w:suppressAutoHyphens/>
        <w:autoSpaceDE/>
        <w:autoSpaceDN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odborné publikace:  Akademický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bulletin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AV,  Literární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noviny</w:t>
      </w:r>
    </w:p>
    <w:p w:rsidR="00A2623A" w:rsidRPr="00A2623A" w:rsidRDefault="00A2623A" w:rsidP="00A2623A">
      <w:pPr>
        <w:widowControl w:val="0"/>
        <w:numPr>
          <w:ilvl w:val="0"/>
          <w:numId w:val="25"/>
        </w:numPr>
        <w:suppressAutoHyphens/>
        <w:autoSpaceDE/>
        <w:autoSpaceDN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623A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Informační spoty i rozhovory vysílaly rozhlasové stanice: Český rozhlas region, Hit Rádio Vysočina</w:t>
      </w:r>
    </w:p>
    <w:p w:rsidR="00A2623A" w:rsidRPr="00A2623A" w:rsidRDefault="00A2623A" w:rsidP="00A2623A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623A" w:rsidRPr="008A4DFB" w:rsidRDefault="00A2623A" w:rsidP="00DD0FF8">
      <w:pPr>
        <w:autoSpaceDE/>
        <w:autoSpaceDN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6CF9" w:rsidRPr="00ED5CA2" w:rsidRDefault="00ED5CA2" w:rsidP="00DD0FF8">
      <w:pPr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Zpracoval: Mgr. Milan D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ufek</w:t>
      </w:r>
    </w:p>
    <w:sectPr w:rsidR="00996CF9" w:rsidRPr="00ED5CA2" w:rsidSect="002702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503"/>
      </v:shape>
    </w:pict>
  </w:numPicBullet>
  <w:abstractNum w:abstractNumId="0">
    <w:nsid w:val="041B3847"/>
    <w:multiLevelType w:val="hybridMultilevel"/>
    <w:tmpl w:val="E8A80B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C7A"/>
    <w:multiLevelType w:val="hybridMultilevel"/>
    <w:tmpl w:val="7ADCD9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661EA"/>
    <w:multiLevelType w:val="hybridMultilevel"/>
    <w:tmpl w:val="87229A9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38FC940C">
      <w:numFmt w:val="bullet"/>
      <w:lvlText w:val=""/>
      <w:lvlJc w:val="left"/>
      <w:pPr>
        <w:ind w:left="1800" w:hanging="360"/>
      </w:pPr>
      <w:rPr>
        <w:rFonts w:ascii="Symbol" w:eastAsia="Lucida Sans Unicode" w:hAnsi="Symbol" w:cs="Tahoma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7D6D4B"/>
    <w:multiLevelType w:val="hybridMultilevel"/>
    <w:tmpl w:val="27240A8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222C90"/>
    <w:multiLevelType w:val="hybridMultilevel"/>
    <w:tmpl w:val="1FC2D48E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68107B8"/>
    <w:multiLevelType w:val="hybridMultilevel"/>
    <w:tmpl w:val="B7AE403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B47D4D"/>
    <w:multiLevelType w:val="hybridMultilevel"/>
    <w:tmpl w:val="8F7027C4"/>
    <w:lvl w:ilvl="0" w:tplc="0BA40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F717D"/>
    <w:multiLevelType w:val="multilevel"/>
    <w:tmpl w:val="1D5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83219"/>
    <w:multiLevelType w:val="hybridMultilevel"/>
    <w:tmpl w:val="4E906216"/>
    <w:lvl w:ilvl="0" w:tplc="69C2AEB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50B58BD"/>
    <w:multiLevelType w:val="hybridMultilevel"/>
    <w:tmpl w:val="3C5CEF1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B0601"/>
    <w:multiLevelType w:val="hybridMultilevel"/>
    <w:tmpl w:val="763A1CC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DD5EA1"/>
    <w:multiLevelType w:val="hybridMultilevel"/>
    <w:tmpl w:val="7292B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421C4"/>
    <w:multiLevelType w:val="hybridMultilevel"/>
    <w:tmpl w:val="3A006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D3F76"/>
    <w:multiLevelType w:val="hybridMultilevel"/>
    <w:tmpl w:val="16FCFF54"/>
    <w:lvl w:ilvl="0" w:tplc="040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9B773A9"/>
    <w:multiLevelType w:val="hybridMultilevel"/>
    <w:tmpl w:val="FDDA5B7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04F6A36"/>
    <w:multiLevelType w:val="hybridMultilevel"/>
    <w:tmpl w:val="DC788ED6"/>
    <w:lvl w:ilvl="0" w:tplc="69C2AEB8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>
    <w:nsid w:val="485F2647"/>
    <w:multiLevelType w:val="hybridMultilevel"/>
    <w:tmpl w:val="782E0504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4E82139C"/>
    <w:multiLevelType w:val="multilevel"/>
    <w:tmpl w:val="F5E4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E01E1"/>
    <w:multiLevelType w:val="hybridMultilevel"/>
    <w:tmpl w:val="04A6C8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E208E"/>
    <w:multiLevelType w:val="hybridMultilevel"/>
    <w:tmpl w:val="E202E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807CE"/>
    <w:multiLevelType w:val="hybridMultilevel"/>
    <w:tmpl w:val="2F6CB9B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6936A5F"/>
    <w:multiLevelType w:val="hybridMultilevel"/>
    <w:tmpl w:val="0DF01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B6608"/>
    <w:multiLevelType w:val="multilevel"/>
    <w:tmpl w:val="41B8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03D60"/>
    <w:multiLevelType w:val="hybridMultilevel"/>
    <w:tmpl w:val="95569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21247"/>
    <w:multiLevelType w:val="hybridMultilevel"/>
    <w:tmpl w:val="935E206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8"/>
  </w:num>
  <w:num w:numId="5">
    <w:abstractNumId w:val="21"/>
  </w:num>
  <w:num w:numId="6">
    <w:abstractNumId w:val="23"/>
  </w:num>
  <w:num w:numId="7">
    <w:abstractNumId w:val="14"/>
  </w:num>
  <w:num w:numId="8">
    <w:abstractNumId w:val="16"/>
  </w:num>
  <w:num w:numId="9">
    <w:abstractNumId w:val="24"/>
  </w:num>
  <w:num w:numId="10">
    <w:abstractNumId w:val="9"/>
  </w:num>
  <w:num w:numId="11">
    <w:abstractNumId w:val="5"/>
  </w:num>
  <w:num w:numId="12">
    <w:abstractNumId w:val="13"/>
  </w:num>
  <w:num w:numId="13">
    <w:abstractNumId w:val="20"/>
  </w:num>
  <w:num w:numId="14">
    <w:abstractNumId w:val="0"/>
  </w:num>
  <w:num w:numId="15">
    <w:abstractNumId w:val="18"/>
  </w:num>
  <w:num w:numId="16">
    <w:abstractNumId w:val="1"/>
  </w:num>
  <w:num w:numId="17">
    <w:abstractNumId w:val="3"/>
  </w:num>
  <w:num w:numId="18">
    <w:abstractNumId w:val="11"/>
  </w:num>
  <w:num w:numId="19">
    <w:abstractNumId w:val="10"/>
  </w:num>
  <w:num w:numId="20">
    <w:abstractNumId w:val="7"/>
  </w:num>
  <w:num w:numId="21">
    <w:abstractNumId w:val="17"/>
  </w:num>
  <w:num w:numId="22">
    <w:abstractNumId w:val="22"/>
  </w:num>
  <w:num w:numId="23">
    <w:abstractNumId w:val="15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38"/>
    <w:rsid w:val="00022EB2"/>
    <w:rsid w:val="00205C83"/>
    <w:rsid w:val="00211B4E"/>
    <w:rsid w:val="002702A0"/>
    <w:rsid w:val="00396FC9"/>
    <w:rsid w:val="003A4338"/>
    <w:rsid w:val="003F779D"/>
    <w:rsid w:val="004E327B"/>
    <w:rsid w:val="005B4554"/>
    <w:rsid w:val="005F0570"/>
    <w:rsid w:val="00765344"/>
    <w:rsid w:val="007C4504"/>
    <w:rsid w:val="007E0077"/>
    <w:rsid w:val="008A4DFB"/>
    <w:rsid w:val="00966DAE"/>
    <w:rsid w:val="00996CF9"/>
    <w:rsid w:val="00A04372"/>
    <w:rsid w:val="00A2623A"/>
    <w:rsid w:val="00A5511D"/>
    <w:rsid w:val="00A74208"/>
    <w:rsid w:val="00AE3005"/>
    <w:rsid w:val="00BA543C"/>
    <w:rsid w:val="00D26679"/>
    <w:rsid w:val="00DD0FF8"/>
    <w:rsid w:val="00ED5CA2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338"/>
    <w:pPr>
      <w:ind w:left="708"/>
    </w:pPr>
  </w:style>
  <w:style w:type="paragraph" w:styleId="Bezmezer">
    <w:name w:val="No Spacing"/>
    <w:uiPriority w:val="1"/>
    <w:qFormat/>
    <w:rsid w:val="003A43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6FC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96FC9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338"/>
    <w:pPr>
      <w:ind w:left="708"/>
    </w:pPr>
  </w:style>
  <w:style w:type="paragraph" w:styleId="Bezmezer">
    <w:name w:val="No Spacing"/>
    <w:uiPriority w:val="1"/>
    <w:qFormat/>
    <w:rsid w:val="003A43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6FC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96FC9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723">
                  <w:marLeft w:val="0"/>
                  <w:marRight w:val="0"/>
                  <w:marTop w:val="0"/>
                  <w:marBottom w:val="0"/>
                  <w:divBdr>
                    <w:top w:val="single" w:sz="6" w:space="0" w:color="47656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16">
                  <w:marLeft w:val="0"/>
                  <w:marRight w:val="0"/>
                  <w:marTop w:val="0"/>
                  <w:marBottom w:val="0"/>
                  <w:divBdr>
                    <w:top w:val="single" w:sz="6" w:space="0" w:color="47656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909">
                  <w:marLeft w:val="0"/>
                  <w:marRight w:val="0"/>
                  <w:marTop w:val="0"/>
                  <w:marBottom w:val="0"/>
                  <w:divBdr>
                    <w:top w:val="single" w:sz="6" w:space="0" w:color="47656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X_GIeUj-3fCKH-I0AID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elkomeziricsko/?ref=h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1573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</dc:creator>
  <cp:lastModifiedBy>Dufek</cp:lastModifiedBy>
  <cp:revision>6</cp:revision>
  <dcterms:created xsi:type="dcterms:W3CDTF">2016-03-10T06:35:00Z</dcterms:created>
  <dcterms:modified xsi:type="dcterms:W3CDTF">2016-04-04T09:28:00Z</dcterms:modified>
</cp:coreProperties>
</file>